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A64E" w14:textId="5A5FB476" w:rsidR="00BE1630" w:rsidRPr="004657E0" w:rsidRDefault="00BE1630" w:rsidP="00BE1630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4657E0">
        <w:rPr>
          <w:rFonts w:ascii="Calibri" w:eastAsia="Calibri" w:hAnsi="Calibri" w:cs="Calibri"/>
          <w:sz w:val="20"/>
          <w:szCs w:val="20"/>
        </w:rPr>
        <w:t>Príloha k súťažným podklado</w:t>
      </w:r>
      <w:r w:rsidR="004843B3" w:rsidRPr="004657E0">
        <w:rPr>
          <w:rFonts w:ascii="Calibri" w:eastAsia="Calibri" w:hAnsi="Calibri" w:cs="Calibri"/>
          <w:sz w:val="20"/>
          <w:szCs w:val="20"/>
        </w:rPr>
        <w:t>m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62CC3A7" w:rsidR="00BE1630" w:rsidRPr="0070588A" w:rsidRDefault="00632D0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>VYHLÁSENIE UCHÁDZAČA</w:t>
      </w:r>
      <w:r>
        <w:rPr>
          <w:rFonts w:cstheme="minorHAnsi"/>
          <w:b/>
          <w:sz w:val="28"/>
          <w:szCs w:val="28"/>
        </w:rPr>
        <w:t xml:space="preserve"> pri </w:t>
      </w:r>
      <w:r w:rsidR="00AA1F73">
        <w:rPr>
          <w:rFonts w:cstheme="minorHAnsi"/>
          <w:b/>
          <w:sz w:val="28"/>
          <w:szCs w:val="28"/>
        </w:rPr>
        <w:t xml:space="preserve">konečnej </w:t>
      </w:r>
      <w:r w:rsidR="001974E5">
        <w:rPr>
          <w:rFonts w:cstheme="minorHAnsi"/>
          <w:b/>
          <w:sz w:val="28"/>
          <w:szCs w:val="28"/>
        </w:rPr>
        <w:t>ponuke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9AF9B0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uchádzač 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2E17C749" w:rsidR="00BE1630" w:rsidRPr="00C769AD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b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C769AD" w:rsidRPr="00C769AD">
        <w:rPr>
          <w:b/>
        </w:rPr>
        <w:t>Modernizácia úkrytov civilnej ochrany v objektoch Prevádzkovej budovy a Jedálne - zariadenia radiačnej ochrany</w:t>
      </w:r>
    </w:p>
    <w:p w14:paraId="19C316E6" w14:textId="635388BF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C769AD">
        <w:rPr>
          <w:rFonts w:ascii="Arial" w:hAnsi="Arial" w:cs="Arial"/>
          <w:b/>
          <w:sz w:val="20"/>
          <w:szCs w:val="20"/>
        </w:rPr>
        <w:t>2025/15994</w:t>
      </w:r>
      <w:bookmarkStart w:id="0" w:name="_GoBack"/>
      <w:bookmarkEnd w:id="0"/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77777777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9D88D91" w14:textId="459464A7" w:rsidR="004657E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730594A4" w14:textId="77777777" w:rsidR="004657E0" w:rsidRPr="0026497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45D90786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320278C5" w14:textId="77777777" w:rsidR="004657E0" w:rsidRPr="00264970" w:rsidRDefault="004657E0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6A37065D" w14:textId="77777777" w:rsidR="00BE1630" w:rsidRPr="0070588A" w:rsidRDefault="00BE1630" w:rsidP="004657E0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2616BE61" w:rsidR="00BE1630" w:rsidRPr="007177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>jov obstarávateľom, ktoré uchádzač 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 ponuk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177F9">
        <w:rPr>
          <w:rFonts w:cstheme="minorHAnsi"/>
        </w:rPr>
        <w:t xml:space="preserve">doplnení niektorých zákonov a dobrými mravmi a na relevantnom právnom </w:t>
      </w:r>
      <w:r w:rsidRPr="007177F9">
        <w:rPr>
          <w:rFonts w:cstheme="minorHAnsi"/>
          <w:spacing w:val="1"/>
        </w:rPr>
        <w:t>z</w:t>
      </w:r>
      <w:r w:rsidRPr="007177F9">
        <w:rPr>
          <w:rFonts w:cstheme="minorHAnsi"/>
          <w:spacing w:val="-18"/>
        </w:rPr>
        <w:t>a</w:t>
      </w:r>
      <w:r w:rsidRPr="007177F9">
        <w:rPr>
          <w:rFonts w:cstheme="minorHAnsi"/>
          <w:spacing w:val="14"/>
          <w:position w:val="-4"/>
        </w:rPr>
        <w:t>́</w:t>
      </w:r>
      <w:r w:rsidRPr="007177F9">
        <w:rPr>
          <w:rFonts w:cstheme="minorHAnsi"/>
          <w:spacing w:val="2"/>
        </w:rPr>
        <w:t>k</w:t>
      </w:r>
      <w:r w:rsidRPr="007177F9">
        <w:rPr>
          <w:rFonts w:cstheme="minorHAnsi"/>
        </w:rPr>
        <w:t>l</w:t>
      </w:r>
      <w:r w:rsidRPr="007177F9">
        <w:rPr>
          <w:rFonts w:cstheme="minorHAnsi"/>
          <w:spacing w:val="-1"/>
        </w:rPr>
        <w:t>a</w:t>
      </w:r>
      <w:r w:rsidRPr="007177F9">
        <w:rPr>
          <w:rFonts w:cstheme="minorHAnsi"/>
        </w:rPr>
        <w:t>d</w:t>
      </w:r>
      <w:r w:rsidRPr="007177F9">
        <w:rPr>
          <w:rFonts w:cstheme="minorHAnsi"/>
          <w:spacing w:val="-1"/>
        </w:rPr>
        <w:t>e,</w:t>
      </w:r>
    </w:p>
    <w:p w14:paraId="71EF0664" w14:textId="77777777" w:rsidR="00BE1630" w:rsidRPr="007177F9" w:rsidRDefault="00BE1630" w:rsidP="004657E0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438A4F7" w:rsidR="00BE1630" w:rsidRPr="007177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177F9">
        <w:rPr>
          <w:rFonts w:cstheme="minorHAnsi"/>
        </w:rPr>
        <w:t>je</w:t>
      </w:r>
      <w:r w:rsidRPr="007177F9">
        <w:rPr>
          <w:rFonts w:cstheme="minorHAnsi"/>
          <w:spacing w:val="-3"/>
        </w:rPr>
        <w:t xml:space="preserve"> </w:t>
      </w:r>
      <w:r w:rsidRPr="007177F9">
        <w:rPr>
          <w:rFonts w:cstheme="minorHAnsi"/>
        </w:rPr>
        <w:t>dôkladne</w:t>
      </w:r>
      <w:r w:rsidRPr="007177F9">
        <w:rPr>
          <w:rFonts w:cstheme="minorHAnsi"/>
          <w:spacing w:val="-3"/>
        </w:rPr>
        <w:t xml:space="preserve"> oboznámený</w:t>
      </w:r>
      <w:r w:rsidRPr="007177F9">
        <w:rPr>
          <w:rFonts w:cstheme="minorHAnsi"/>
          <w:spacing w:val="10"/>
          <w:position w:val="-4"/>
        </w:rPr>
        <w:t xml:space="preserve"> </w:t>
      </w:r>
      <w:r w:rsidRPr="007177F9">
        <w:rPr>
          <w:rFonts w:cstheme="minorHAnsi"/>
        </w:rPr>
        <w:t>s</w:t>
      </w:r>
      <w:r w:rsidRPr="007177F9">
        <w:rPr>
          <w:rFonts w:cstheme="minorHAnsi"/>
          <w:spacing w:val="-2"/>
        </w:rPr>
        <w:t xml:space="preserve"> </w:t>
      </w:r>
      <w:r w:rsidRPr="007177F9">
        <w:rPr>
          <w:rFonts w:cstheme="minorHAnsi"/>
          <w:spacing w:val="1"/>
        </w:rPr>
        <w:t>c</w:t>
      </w:r>
      <w:r w:rsidRPr="007177F9">
        <w:rPr>
          <w:rFonts w:cstheme="minorHAnsi"/>
          <w:spacing w:val="-1"/>
        </w:rPr>
        <w:t>e</w:t>
      </w:r>
      <w:r w:rsidRPr="007177F9">
        <w:rPr>
          <w:rFonts w:cstheme="minorHAnsi"/>
          <w:spacing w:val="5"/>
        </w:rPr>
        <w:t>l</w:t>
      </w:r>
      <w:r w:rsidRPr="007177F9">
        <w:rPr>
          <w:rFonts w:cstheme="minorHAnsi"/>
          <w:spacing w:val="-19"/>
        </w:rPr>
        <w:t>y</w:t>
      </w:r>
      <w:r w:rsidRPr="007177F9">
        <w:rPr>
          <w:rFonts w:cstheme="minorHAnsi"/>
          <w:spacing w:val="10"/>
          <w:position w:val="-4"/>
        </w:rPr>
        <w:t>́</w:t>
      </w:r>
      <w:r w:rsidRPr="007177F9">
        <w:rPr>
          <w:rFonts w:cstheme="minorHAnsi"/>
        </w:rPr>
        <w:t>m</w:t>
      </w:r>
      <w:r w:rsidRPr="007177F9">
        <w:rPr>
          <w:rFonts w:cstheme="minorHAnsi"/>
          <w:spacing w:val="-2"/>
        </w:rPr>
        <w:t xml:space="preserve"> </w:t>
      </w:r>
      <w:r w:rsidRPr="007177F9">
        <w:rPr>
          <w:rFonts w:cstheme="minorHAnsi"/>
        </w:rPr>
        <w:t>ob</w:t>
      </w:r>
      <w:r w:rsidRPr="007177F9">
        <w:rPr>
          <w:rFonts w:cstheme="minorHAnsi"/>
          <w:spacing w:val="3"/>
        </w:rPr>
        <w:t>s</w:t>
      </w:r>
      <w:r w:rsidRPr="007177F9">
        <w:rPr>
          <w:rFonts w:cstheme="minorHAnsi"/>
          <w:spacing w:val="-1"/>
        </w:rPr>
        <w:t>a</w:t>
      </w:r>
      <w:r w:rsidRPr="007177F9">
        <w:rPr>
          <w:rFonts w:cstheme="minorHAnsi"/>
        </w:rPr>
        <w:t>hom</w:t>
      </w:r>
      <w:r w:rsidRPr="007177F9">
        <w:rPr>
          <w:rFonts w:cstheme="minorHAnsi"/>
          <w:spacing w:val="-2"/>
        </w:rPr>
        <w:t xml:space="preserve"> </w:t>
      </w:r>
      <w:r w:rsidRPr="007177F9">
        <w:rPr>
          <w:rFonts w:cstheme="minorHAnsi"/>
        </w:rPr>
        <w:t>súťažných</w:t>
      </w:r>
      <w:r w:rsidRPr="007177F9">
        <w:rPr>
          <w:rFonts w:cstheme="minorHAnsi"/>
          <w:spacing w:val="-2"/>
        </w:rPr>
        <w:t xml:space="preserve"> </w:t>
      </w:r>
      <w:r w:rsidRPr="007177F9">
        <w:rPr>
          <w:rFonts w:cstheme="minorHAnsi"/>
        </w:rPr>
        <w:t>podkl</w:t>
      </w:r>
      <w:r w:rsidRPr="007177F9">
        <w:rPr>
          <w:rFonts w:cstheme="minorHAnsi"/>
          <w:spacing w:val="-1"/>
        </w:rPr>
        <w:t>a</w:t>
      </w:r>
      <w:r w:rsidRPr="007177F9">
        <w:rPr>
          <w:rFonts w:cstheme="minorHAnsi"/>
        </w:rPr>
        <w:t>dov</w:t>
      </w:r>
      <w:r w:rsidRPr="007177F9">
        <w:rPr>
          <w:rFonts w:cstheme="minorHAnsi"/>
          <w:spacing w:val="-1"/>
        </w:rPr>
        <w:t xml:space="preserve"> </w:t>
      </w:r>
      <w:r w:rsidRPr="007177F9">
        <w:rPr>
          <w:rFonts w:cstheme="minorHAnsi"/>
        </w:rPr>
        <w:t>a</w:t>
      </w:r>
      <w:r w:rsidRPr="007177F9">
        <w:rPr>
          <w:rFonts w:cstheme="minorHAnsi"/>
          <w:spacing w:val="-1"/>
        </w:rPr>
        <w:t xml:space="preserve"> </w:t>
      </w:r>
      <w:r w:rsidRPr="007177F9">
        <w:rPr>
          <w:rFonts w:cstheme="minorHAnsi"/>
        </w:rPr>
        <w:t>b</w:t>
      </w:r>
      <w:r w:rsidRPr="007177F9">
        <w:rPr>
          <w:rFonts w:cstheme="minorHAnsi"/>
          <w:spacing w:val="-1"/>
        </w:rPr>
        <w:t>e</w:t>
      </w:r>
      <w:r w:rsidRPr="007177F9">
        <w:rPr>
          <w:rFonts w:cstheme="minorHAnsi"/>
          <w:spacing w:val="1"/>
        </w:rPr>
        <w:t>z</w:t>
      </w:r>
      <w:r w:rsidRPr="007177F9">
        <w:rPr>
          <w:rFonts w:cstheme="minorHAnsi"/>
          <w:spacing w:val="2"/>
        </w:rPr>
        <w:t>v</w:t>
      </w:r>
      <w:r w:rsidRPr="007177F9">
        <w:rPr>
          <w:rFonts w:cstheme="minorHAnsi"/>
          <w:spacing w:val="-5"/>
        </w:rPr>
        <w:t>ý</w:t>
      </w:r>
      <w:r w:rsidRPr="007177F9">
        <w:rPr>
          <w:rFonts w:cstheme="minorHAnsi"/>
        </w:rPr>
        <w:t>h</w:t>
      </w:r>
      <w:r w:rsidRPr="007177F9">
        <w:rPr>
          <w:rFonts w:cstheme="minorHAnsi"/>
          <w:spacing w:val="-1"/>
        </w:rPr>
        <w:t>ra</w:t>
      </w:r>
      <w:r w:rsidRPr="007177F9">
        <w:rPr>
          <w:rFonts w:cstheme="minorHAnsi"/>
        </w:rPr>
        <w:t>d</w:t>
      </w:r>
      <w:r w:rsidRPr="007177F9">
        <w:rPr>
          <w:rFonts w:cstheme="minorHAnsi"/>
          <w:spacing w:val="2"/>
        </w:rPr>
        <w:t>n</w:t>
      </w:r>
      <w:r w:rsidRPr="007177F9">
        <w:rPr>
          <w:rFonts w:cstheme="minorHAnsi"/>
        </w:rPr>
        <w:t>e</w:t>
      </w:r>
      <w:r w:rsidRPr="007177F9">
        <w:rPr>
          <w:rFonts w:cstheme="minorHAnsi"/>
          <w:spacing w:val="-1"/>
        </w:rPr>
        <w:t xml:space="preserve"> </w:t>
      </w:r>
      <w:r w:rsidR="007177F9" w:rsidRPr="007177F9">
        <w:rPr>
          <w:rFonts w:cstheme="minorHAnsi"/>
          <w:spacing w:val="-1"/>
        </w:rPr>
        <w:t xml:space="preserve">s ním </w:t>
      </w:r>
      <w:r w:rsidRPr="007177F9">
        <w:rPr>
          <w:rFonts w:cstheme="minorHAnsi"/>
        </w:rPr>
        <w:t>súhl</w:t>
      </w:r>
      <w:r w:rsidRPr="007177F9">
        <w:rPr>
          <w:rFonts w:cstheme="minorHAnsi"/>
          <w:spacing w:val="-1"/>
        </w:rPr>
        <w:t>a</w:t>
      </w:r>
      <w:r w:rsidRPr="007177F9">
        <w:rPr>
          <w:rFonts w:cstheme="minorHAnsi"/>
        </w:rPr>
        <w:t>sí,</w:t>
      </w:r>
    </w:p>
    <w:p w14:paraId="7EE216C6" w14:textId="77777777" w:rsidR="00BE1630" w:rsidRPr="0070588A" w:rsidRDefault="00BE1630" w:rsidP="004657E0">
      <w:pPr>
        <w:spacing w:before="13" w:line="276" w:lineRule="auto"/>
        <w:rPr>
          <w:rFonts w:cstheme="minorHAnsi"/>
        </w:rPr>
      </w:pPr>
    </w:p>
    <w:p w14:paraId="31650305" w14:textId="1BB2B89F" w:rsidR="002953F2" w:rsidRPr="00F75CC0" w:rsidRDefault="00BE1630" w:rsidP="00F75CC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ponuke sú pravdivé a úplné,</w:t>
      </w:r>
    </w:p>
    <w:p w14:paraId="5A9AA4D6" w14:textId="0258DBA5" w:rsidR="004657E0" w:rsidRPr="0070588A" w:rsidRDefault="004657E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77C488" w16cid:durableId="1FC3871F"/>
  <w16cid:commentId w16cid:paraId="5C3B06C8" w16cid:durableId="1FC38E55"/>
  <w16cid:commentId w16cid:paraId="6029F850" w16cid:durableId="1FC38BD8"/>
  <w16cid:commentId w16cid:paraId="49ADA8B7" w16cid:durableId="1FC47F78"/>
  <w16cid:commentId w16cid:paraId="2C99A609" w16cid:durableId="1FC38DEB"/>
  <w16cid:commentId w16cid:paraId="71970EF7" w16cid:durableId="1FC39438"/>
  <w16cid:commentId w16cid:paraId="5ED1AE56" w16cid:durableId="1FC394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4C97" w14:textId="77777777" w:rsidR="003D139D" w:rsidRDefault="003D139D" w:rsidP="00557463">
      <w:r>
        <w:separator/>
      </w:r>
    </w:p>
  </w:endnote>
  <w:endnote w:type="continuationSeparator" w:id="0">
    <w:p w14:paraId="1E97487F" w14:textId="77777777" w:rsidR="003D139D" w:rsidRDefault="003D139D" w:rsidP="00557463">
      <w:r>
        <w:continuationSeparator/>
      </w:r>
    </w:p>
  </w:endnote>
  <w:endnote w:type="continuationNotice" w:id="1">
    <w:p w14:paraId="18DB4A05" w14:textId="77777777" w:rsidR="003D139D" w:rsidRDefault="003D1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2DEFAA2A" w14:textId="77777777" w:rsidR="00C455C0" w:rsidRPr="00C455C0" w:rsidRDefault="00C455C0" w:rsidP="00C455C0">
    <w:pPr>
      <w:tabs>
        <w:tab w:val="center" w:pos="4536"/>
      </w:tabs>
      <w:spacing w:before="40" w:after="40"/>
      <w:ind w:left="-567" w:right="-567"/>
      <w:jc w:val="center"/>
      <w:rPr>
        <w:rFonts w:ascii="Arial" w:eastAsia="Tahoma" w:hAnsi="Arial" w:cs="Tahoma"/>
        <w:color w:val="BFBFBF"/>
        <w:sz w:val="16"/>
        <w:szCs w:val="16"/>
      </w:rPr>
    </w:pPr>
    <w:r w:rsidRPr="00C455C0">
      <w:rPr>
        <w:rFonts w:ascii="Arial" w:hAnsi="Arial" w:cs="Tahoma"/>
        <w:noProof/>
        <w:color w:val="BFBFBF"/>
        <w:sz w:val="16"/>
        <w:szCs w:val="16"/>
      </w:rPr>
      <w:t>Slovenské elektrárne, a.s., Pribinova 40, 811 09 Bratislava, Slovenská republika, IČO: 35 829 052,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0661386C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C769AD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C769AD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DE111" w14:textId="77777777" w:rsidR="00C455C0" w:rsidRDefault="00C455C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A8056" w14:textId="77777777" w:rsidR="003D139D" w:rsidRDefault="003D139D" w:rsidP="00557463">
      <w:r>
        <w:separator/>
      </w:r>
    </w:p>
  </w:footnote>
  <w:footnote w:type="continuationSeparator" w:id="0">
    <w:p w14:paraId="3CD9D392" w14:textId="77777777" w:rsidR="003D139D" w:rsidRDefault="003D139D" w:rsidP="00557463">
      <w:r>
        <w:continuationSeparator/>
      </w:r>
    </w:p>
  </w:footnote>
  <w:footnote w:type="continuationNotice" w:id="1">
    <w:p w14:paraId="233006AC" w14:textId="77777777" w:rsidR="003D139D" w:rsidRDefault="003D1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F903C" w14:textId="77777777" w:rsidR="00C455C0" w:rsidRDefault="00C455C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ACF72" w14:textId="77777777" w:rsidR="00C455C0" w:rsidRDefault="00C455C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12"/>
  </w:num>
  <w:num w:numId="6">
    <w:abstractNumId w:val="1"/>
  </w:num>
  <w:num w:numId="7">
    <w:abstractNumId w:val="18"/>
  </w:num>
  <w:num w:numId="8">
    <w:abstractNumId w:val="1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5"/>
  </w:num>
  <w:num w:numId="16">
    <w:abstractNumId w:val="10"/>
  </w:num>
  <w:num w:numId="17">
    <w:abstractNumId w:val="0"/>
  </w:num>
  <w:num w:numId="18">
    <w:abstractNumId w:val="17"/>
  </w:num>
  <w:num w:numId="19">
    <w:abstractNumId w:val="11"/>
  </w:num>
  <w:num w:numId="2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501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39D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177F9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1F73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5C0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69AD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8B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C67BA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5A14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411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3EDC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5D63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CC0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7A64BC-F34C-42DF-8D87-7511F21F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Fidesová Erika</cp:lastModifiedBy>
  <cp:revision>14</cp:revision>
  <cp:lastPrinted>2018-09-10T10:04:00Z</cp:lastPrinted>
  <dcterms:created xsi:type="dcterms:W3CDTF">2024-04-10T09:14:00Z</dcterms:created>
  <dcterms:modified xsi:type="dcterms:W3CDTF">2025-08-13T07:25:00Z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